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060190" w:rsidRPr="00060190">
        <w:rPr>
          <w:rFonts w:ascii="Times New Roman" w:eastAsia="Times New Roman" w:hAnsi="Times New Roman" w:cs="Times New Roman"/>
          <w:b/>
          <w:sz w:val="28"/>
          <w:szCs w:val="32"/>
        </w:rPr>
        <w:t>Курсы повышения квалификации капитана-механика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Организация управления судном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Современные технические средства и методы судовождения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Устройство судна, судовых машин, механизмов, систем и устройств, их эксплуатация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060190" w:rsidRPr="00E9215A" w:rsidTr="00E9215A">
        <w:trPr>
          <w:jc w:val="center"/>
        </w:trPr>
        <w:tc>
          <w:tcPr>
            <w:tcW w:w="678" w:type="dxa"/>
            <w:vAlign w:val="center"/>
          </w:tcPr>
          <w:p w:rsidR="00060190" w:rsidRPr="00E9215A" w:rsidRDefault="00060190" w:rsidP="0006019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38" w:type="dxa"/>
            <w:vAlign w:val="center"/>
          </w:tcPr>
          <w:p w:rsidR="00060190" w:rsidRPr="00AE03FA" w:rsidRDefault="00060190" w:rsidP="00060190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Управление безопасным и эффективным проведением технического обслуживания и ремонта</w:t>
            </w:r>
          </w:p>
        </w:tc>
        <w:tc>
          <w:tcPr>
            <w:tcW w:w="1276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060190" w:rsidRPr="00E9215A" w:rsidRDefault="00060190" w:rsidP="0006019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</w:pP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B50F10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60190"/>
    <w:rsid w:val="000A22AD"/>
    <w:rsid w:val="001831B3"/>
    <w:rsid w:val="006F036A"/>
    <w:rsid w:val="0071545B"/>
    <w:rsid w:val="007C197F"/>
    <w:rsid w:val="0093053F"/>
    <w:rsid w:val="00AE03FA"/>
    <w:rsid w:val="00B50F10"/>
    <w:rsid w:val="00DB75E3"/>
    <w:rsid w:val="00E9215A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B618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2023-04-26T13:22:00Z</dcterms:created>
  <dcterms:modified xsi:type="dcterms:W3CDTF">2023-07-11T07:25:00Z</dcterms:modified>
</cp:coreProperties>
</file>